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0A4A09"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A521D1"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lastRenderedPageBreak/>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223D59" w:rsidRDefault="00223D59" w:rsidP="006B5383">
      <w:pPr>
        <w:wordWrap w:val="0"/>
        <w:overflowPunct w:val="0"/>
        <w:autoSpaceDE w:val="0"/>
        <w:autoSpaceDN w:val="0"/>
      </w:pPr>
    </w:p>
    <w:p w:rsidR="00223D59" w:rsidRDefault="00223D59" w:rsidP="006B5383">
      <w:pPr>
        <w:wordWrap w:val="0"/>
        <w:overflowPunct w:val="0"/>
        <w:autoSpaceDE w:val="0"/>
        <w:autoSpaceDN w:val="0"/>
      </w:pPr>
    </w:p>
    <w:p w:rsidR="00223D59" w:rsidRDefault="00223D59" w:rsidP="006B5383">
      <w:pPr>
        <w:wordWrap w:val="0"/>
        <w:overflowPunct w:val="0"/>
        <w:autoSpaceDE w:val="0"/>
        <w:autoSpaceDN w:val="0"/>
      </w:pPr>
    </w:p>
    <w:p w:rsidR="00223D59" w:rsidRDefault="00223D59"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6B5383"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F041C4" w:rsidRDefault="00F041C4" w:rsidP="006B5383">
      <w:pPr>
        <w:wordWrap w:val="0"/>
        <w:overflowPunct w:val="0"/>
        <w:autoSpaceDE w:val="0"/>
        <w:autoSpaceDN w:val="0"/>
        <w:ind w:leftChars="200" w:left="630" w:hangingChars="100" w:hanging="210"/>
        <w:sectPr w:rsidR="00F041C4" w:rsidSect="00F041C4">
          <w:footerReference w:type="default" r:id="rId9"/>
          <w:type w:val="continuous"/>
          <w:pgSz w:w="11907" w:h="16839" w:code="9"/>
          <w:pgMar w:top="1418" w:right="1701" w:bottom="1134" w:left="1701" w:header="284" w:footer="284" w:gutter="0"/>
          <w:cols w:space="425"/>
          <w:docGrid w:type="linesAndChars" w:linePitch="335"/>
        </w:sectPr>
      </w:pPr>
    </w:p>
    <w:p w:rsidR="00F041C4" w:rsidRDefault="00F041C4" w:rsidP="00F041C4">
      <w:pPr>
        <w:jc w:val="center"/>
        <w:rPr>
          <w:rFonts w:ascii="ＭＳ ゴシック" w:eastAsia="ＭＳ ゴシック" w:hAnsi="ＭＳ ゴシック"/>
          <w:kern w:val="2"/>
          <w:sz w:val="28"/>
          <w:szCs w:val="28"/>
        </w:rPr>
      </w:pPr>
      <w:r w:rsidRPr="003A708C">
        <w:rPr>
          <w:rFonts w:ascii="ＭＳ ゴシック" w:eastAsia="ＭＳ ゴシック" w:hAnsi="ＭＳ ゴシック" w:hint="eastAsia"/>
          <w:kern w:val="2"/>
          <w:sz w:val="28"/>
          <w:szCs w:val="28"/>
        </w:rPr>
        <w:t>重点地区景観計画【日の出地区】　景観形成基準</w:t>
      </w:r>
    </w:p>
    <w:p w:rsidR="00F041C4" w:rsidRPr="003A708C" w:rsidRDefault="00F041C4" w:rsidP="00F041C4">
      <w:pPr>
        <w:jc w:val="center"/>
        <w:rPr>
          <w:rFonts w:ascii="ＭＳ ゴシック" w:eastAsia="ＭＳ ゴシック" w:hAnsi="ＭＳ ゴシック"/>
          <w:kern w:val="2"/>
          <w:szCs w:val="28"/>
        </w:rPr>
      </w:pPr>
    </w:p>
    <w:p w:rsidR="00F041C4" w:rsidRPr="003A708C" w:rsidRDefault="00F041C4" w:rsidP="00F041C4">
      <w:pPr>
        <w:ind w:leftChars="96" w:left="202" w:firstLineChars="100" w:firstLine="240"/>
        <w:rPr>
          <w:rFonts w:ascii="ＭＳ Ｐゴシック" w:eastAsia="ＭＳ Ｐゴシック" w:hAnsi="ＭＳ Ｐゴシック"/>
          <w:kern w:val="2"/>
          <w:sz w:val="24"/>
          <w:szCs w:val="24"/>
        </w:rPr>
      </w:pPr>
      <w:r w:rsidRPr="003A708C">
        <w:rPr>
          <w:rFonts w:ascii="ＭＳ ゴシック" w:eastAsia="ＤＦ華康ゴシック体 Std W3" w:hAnsi="ＭＳ ゴシック" w:hint="eastAsia"/>
          <w:kern w:val="2"/>
          <w:sz w:val="24"/>
        </w:rPr>
        <w:t>建築物の形態意匠</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431"/>
        <w:gridCol w:w="709"/>
      </w:tblGrid>
      <w:tr w:rsidR="00F041C4" w:rsidRPr="003A708C" w:rsidTr="007D572D">
        <w:tc>
          <w:tcPr>
            <w:tcW w:w="1357" w:type="dxa"/>
            <w:vMerge w:val="restart"/>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建築物の</w:t>
            </w:r>
          </w:p>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配置等</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海沿いの建築物は、海辺に人が憩えるように空地などの確保に努める。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主な道路や親水空間に面する部分は、歩行者空間として一体的に活用できるように、段差や垣・柵等の遮蔽物は可能な限り設けない。</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壁面後退部分の仕上げは、隣接する道路等と調和した材質、色彩、デザインとなるよう工夫する。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屋根・屋上</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建築設備は、道路や海から直接望見できない位置に集約的に配置し、ペントハウスは建築物と一体的なデザインとするなど、軽快なスカイラインを形成する。やむを得ない場合は、建築物と一体化したデザイン・色彩のルーバー等により修景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val="restart"/>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外壁</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建築物の意匠は、隣接する臨港地区内の施設との調和に配慮し、隣接する建築物相互のデザインの協調に努める。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低層部は、開口部を広くとるなど、明るく開放的な意匠とする。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spacing w:val="-4"/>
                <w:kern w:val="0"/>
                <w:sz w:val="22"/>
                <w:szCs w:val="22"/>
              </w:rPr>
              <w:t>素材は、経年変化を考慮するとともに、維持管理の容易な材料を使用する。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長大な壁面は、建築デザイン、材料、色彩などにより分節化を行う。</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val="restart"/>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立体駐車場</w:t>
            </w:r>
          </w:p>
        </w:tc>
        <w:tc>
          <w:tcPr>
            <w:tcW w:w="7431" w:type="dxa"/>
          </w:tcPr>
          <w:p w:rsidR="00F041C4" w:rsidRPr="003A708C" w:rsidRDefault="00F041C4" w:rsidP="007D572D">
            <w:pPr>
              <w:spacing w:before="100" w:beforeAutospacing="1" w:after="100" w:afterAutospacing="1"/>
              <w:ind w:left="227" w:hanging="227"/>
              <w:rPr>
                <w:rFonts w:ascii="Century" w:hAnsi="Century"/>
                <w:kern w:val="0"/>
                <w:sz w:val="22"/>
              </w:rPr>
            </w:pPr>
            <w:r w:rsidRPr="003A708C">
              <w:rPr>
                <w:rFonts w:ascii="Century" w:hAnsi="Century" w:hint="eastAsia"/>
                <w:kern w:val="0"/>
                <w:sz w:val="22"/>
              </w:rPr>
              <w:t>周辺の建築物のデザインや色彩との調和に努める。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spacing w:before="100" w:beforeAutospacing="1" w:after="100" w:afterAutospacing="1"/>
              <w:ind w:left="227" w:hanging="227"/>
              <w:rPr>
                <w:rFonts w:ascii="Century" w:hAnsi="Century"/>
                <w:kern w:val="0"/>
                <w:sz w:val="22"/>
              </w:rPr>
            </w:pPr>
            <w:r w:rsidRPr="003A708C">
              <w:rPr>
                <w:rFonts w:ascii="Century" w:hAnsi="Century" w:hint="eastAsia"/>
                <w:kern w:val="0"/>
                <w:sz w:val="22"/>
              </w:rPr>
              <w:t>道路に面する部分は、緑化やルーバー等により修景する。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建築設備等</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建築設備や屋外階段は、建築物と一体的なデザインとするとともに、道路及び海から直接望見できない位置に設置する。やむを得ない場合は、植栽や建築物の外壁と調和した色彩のルーバー等による修景を行う。</w:t>
            </w:r>
          </w:p>
        </w:tc>
        <w:tc>
          <w:tcPr>
            <w:tcW w:w="709" w:type="dxa"/>
            <w:tcBorders>
              <w:bottom w:val="single" w:sz="4" w:space="0" w:color="auto"/>
            </w:tcBorders>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357" w:type="dxa"/>
            <w:vMerge w:val="restart"/>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色彩</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建築物の屋根及び外壁等の外観の色彩は、次のとおりとする。ただし、着色していない木材、土壁、ガラス等の材料によって仕上げられる部分の色彩又は見付面積の</w:t>
            </w:r>
            <w:r w:rsidRPr="003A708C">
              <w:rPr>
                <w:rFonts w:ascii="Century" w:hAnsi="Century" w:hint="eastAsia"/>
                <w:kern w:val="0"/>
                <w:sz w:val="22"/>
              </w:rPr>
              <w:t>5</w:t>
            </w:r>
            <w:r w:rsidRPr="003A708C">
              <w:rPr>
                <w:rFonts w:ascii="Century" w:hAnsi="Century" w:hint="eastAsia"/>
                <w:kern w:val="0"/>
                <w:sz w:val="22"/>
              </w:rPr>
              <w:t>分の</w:t>
            </w:r>
            <w:r w:rsidRPr="003A708C">
              <w:rPr>
                <w:rFonts w:ascii="Century" w:hAnsi="Century" w:hint="eastAsia"/>
                <w:kern w:val="0"/>
                <w:sz w:val="22"/>
              </w:rPr>
              <w:t>1</w:t>
            </w:r>
            <w:r w:rsidRPr="003A708C">
              <w:rPr>
                <w:rFonts w:ascii="Century" w:hAnsi="Century" w:hint="eastAsia"/>
                <w:kern w:val="0"/>
                <w:sz w:val="22"/>
              </w:rPr>
              <w:t>未満の範囲で外観のアクセント色として着色される部分の色彩については、この限りでない。</w:t>
            </w:r>
          </w:p>
        </w:tc>
        <w:tc>
          <w:tcPr>
            <w:tcW w:w="709" w:type="dxa"/>
            <w:tcBorders>
              <w:tr2bl w:val="single" w:sz="4" w:space="0" w:color="auto"/>
            </w:tcBorders>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rPr>
          <w:trHeight w:val="637"/>
        </w:trPr>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ind w:left="227" w:hanging="227"/>
              <w:rPr>
                <w:rFonts w:ascii="Century" w:hAnsi="Century"/>
                <w:kern w:val="0"/>
                <w:sz w:val="22"/>
              </w:rPr>
            </w:pPr>
            <w:r w:rsidRPr="003A708C">
              <w:rPr>
                <w:rFonts w:ascii="Century" w:hAnsi="Century" w:hint="eastAsia"/>
                <w:kern w:val="0"/>
                <w:sz w:val="22"/>
              </w:rPr>
              <w:t xml:space="preserve">(1) </w:t>
            </w:r>
            <w:r w:rsidRPr="003A708C">
              <w:rPr>
                <w:rFonts w:ascii="Century" w:hAnsi="Century" w:hint="eastAsia"/>
                <w:kern w:val="0"/>
                <w:sz w:val="22"/>
              </w:rPr>
              <w:t>屋根の色彩</w:t>
            </w:r>
          </w:p>
          <w:p w:rsidR="00F041C4" w:rsidRPr="003A708C" w:rsidRDefault="00F041C4" w:rsidP="007D572D">
            <w:pPr>
              <w:rPr>
                <w:rFonts w:ascii="Century" w:hAnsi="Century"/>
                <w:kern w:val="0"/>
                <w:sz w:val="22"/>
              </w:rPr>
            </w:pPr>
            <w:r w:rsidRPr="003A708C">
              <w:rPr>
                <w:rFonts w:ascii="Century" w:hAnsi="Century" w:hint="eastAsia"/>
                <w:kern w:val="0"/>
                <w:sz w:val="22"/>
              </w:rPr>
              <w:t>屋根の色彩は、緑色や緑青色などとし、別表の範囲とする。</w:t>
            </w:r>
          </w:p>
        </w:tc>
        <w:tc>
          <w:tcPr>
            <w:tcW w:w="709" w:type="dxa"/>
          </w:tcPr>
          <w:p w:rsidR="00F041C4" w:rsidRPr="003A708C" w:rsidRDefault="00F041C4" w:rsidP="007D572D">
            <w:pPr>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rPr>
                <w:rFonts w:ascii="Century" w:hAnsi="Century"/>
                <w:kern w:val="0"/>
                <w:sz w:val="22"/>
              </w:rPr>
            </w:pPr>
            <w:r w:rsidRPr="003A708C">
              <w:rPr>
                <w:rFonts w:ascii="Century" w:hAnsi="Century" w:hint="eastAsia"/>
                <w:kern w:val="0"/>
                <w:sz w:val="22"/>
              </w:rPr>
              <w:t xml:space="preserve">(2) </w:t>
            </w:r>
            <w:r w:rsidRPr="003A708C">
              <w:rPr>
                <w:rFonts w:ascii="Century" w:hAnsi="Century" w:hint="eastAsia"/>
                <w:kern w:val="0"/>
                <w:sz w:val="22"/>
              </w:rPr>
              <w:t>外壁の色彩</w:t>
            </w:r>
          </w:p>
          <w:p w:rsidR="00F041C4" w:rsidRPr="003A708C" w:rsidRDefault="00F041C4" w:rsidP="007D572D">
            <w:pPr>
              <w:rPr>
                <w:rFonts w:ascii="Century" w:hAnsi="Century"/>
                <w:kern w:val="0"/>
                <w:sz w:val="22"/>
              </w:rPr>
            </w:pPr>
            <w:r w:rsidRPr="003A708C">
              <w:rPr>
                <w:rFonts w:ascii="Century" w:hAnsi="Century" w:hint="eastAsia"/>
                <w:kern w:val="0"/>
                <w:sz w:val="22"/>
              </w:rPr>
              <w:t>外壁の基調色は、生成り色、ベージュ及びれんが色などとし、別表の範囲の色彩とする。</w:t>
            </w:r>
          </w:p>
        </w:tc>
        <w:tc>
          <w:tcPr>
            <w:tcW w:w="709" w:type="dxa"/>
          </w:tcPr>
          <w:p w:rsidR="00F041C4" w:rsidRPr="003A708C" w:rsidRDefault="00F041C4" w:rsidP="007D572D">
            <w:pPr>
              <w:ind w:left="227" w:hanging="227"/>
              <w:rPr>
                <w:rFonts w:ascii="Century" w:hAnsi="Century"/>
                <w:kern w:val="0"/>
                <w:sz w:val="22"/>
              </w:rPr>
            </w:pPr>
          </w:p>
        </w:tc>
      </w:tr>
      <w:tr w:rsidR="00F041C4" w:rsidRPr="003A708C" w:rsidTr="007D572D">
        <w:tc>
          <w:tcPr>
            <w:tcW w:w="135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431" w:type="dxa"/>
          </w:tcPr>
          <w:p w:rsidR="00F041C4" w:rsidRPr="003A708C" w:rsidRDefault="00F041C4" w:rsidP="007D572D">
            <w:pPr>
              <w:ind w:left="227" w:hanging="227"/>
              <w:rPr>
                <w:rFonts w:ascii="Century" w:hAnsi="Century"/>
                <w:kern w:val="0"/>
                <w:sz w:val="22"/>
              </w:rPr>
            </w:pPr>
            <w:r w:rsidRPr="003A708C">
              <w:rPr>
                <w:rFonts w:ascii="Century" w:hAnsi="Century" w:hint="eastAsia"/>
                <w:kern w:val="0"/>
                <w:sz w:val="22"/>
              </w:rPr>
              <w:t xml:space="preserve">(3) </w:t>
            </w:r>
            <w:r w:rsidRPr="003A708C">
              <w:rPr>
                <w:rFonts w:ascii="Century" w:hAnsi="Century" w:hint="eastAsia"/>
                <w:kern w:val="0"/>
                <w:sz w:val="22"/>
              </w:rPr>
              <w:t>清水港を代表する色彩（シンボルカラー）</w:t>
            </w:r>
          </w:p>
          <w:p w:rsidR="00F041C4" w:rsidRPr="003A708C" w:rsidRDefault="00F041C4" w:rsidP="007D572D">
            <w:pPr>
              <w:rPr>
                <w:rFonts w:ascii="Century" w:hAnsi="Century"/>
                <w:kern w:val="0"/>
                <w:sz w:val="22"/>
              </w:rPr>
            </w:pPr>
            <w:r w:rsidRPr="003A708C">
              <w:rPr>
                <w:rFonts w:ascii="Century" w:hAnsi="Century" w:hint="eastAsia"/>
                <w:kern w:val="0"/>
                <w:sz w:val="22"/>
              </w:rPr>
              <w:t>外壁等の一部に清水港を代表する色（シンボルカラー）として、別表の色彩（アクアブルー及び白）を用いるように努めるものとする。</w:t>
            </w:r>
          </w:p>
        </w:tc>
        <w:tc>
          <w:tcPr>
            <w:tcW w:w="709" w:type="dxa"/>
          </w:tcPr>
          <w:p w:rsidR="00F041C4" w:rsidRPr="003A708C" w:rsidRDefault="00F041C4" w:rsidP="007D572D">
            <w:pPr>
              <w:ind w:left="227" w:hanging="227"/>
              <w:rPr>
                <w:rFonts w:ascii="Century" w:hAnsi="Century"/>
                <w:kern w:val="0"/>
                <w:sz w:val="22"/>
              </w:rPr>
            </w:pPr>
          </w:p>
        </w:tc>
      </w:tr>
      <w:tr w:rsidR="00F041C4" w:rsidRPr="003A708C" w:rsidTr="007D572D">
        <w:tc>
          <w:tcPr>
            <w:tcW w:w="135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日よけ</w:t>
            </w:r>
          </w:p>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テント等</w:t>
            </w:r>
          </w:p>
        </w:tc>
        <w:tc>
          <w:tcPr>
            <w:tcW w:w="743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日よけテントやフラッグを設ける場合は、建物ごとにデザインや色彩等を統一する。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bl>
    <w:p w:rsidR="00F041C4" w:rsidRPr="003A708C" w:rsidRDefault="00F041C4" w:rsidP="00F041C4">
      <w:pPr>
        <w:ind w:left="202"/>
        <w:rPr>
          <w:rFonts w:ascii="ＭＳ Ｐゴシック" w:eastAsia="ＭＳ Ｐゴシック" w:hAnsi="ＭＳ Ｐゴシック"/>
          <w:kern w:val="2"/>
          <w:sz w:val="24"/>
          <w:szCs w:val="24"/>
        </w:rPr>
      </w:pPr>
      <w:r w:rsidRPr="003A708C">
        <w:rPr>
          <w:rFonts w:ascii="ＭＳ ゴシック" w:eastAsia="ＤＦ華康ゴシック体 Std W3" w:hAnsi="ＭＳ ゴシック" w:hint="eastAsia"/>
          <w:kern w:val="2"/>
          <w:sz w:val="24"/>
        </w:rPr>
        <w:t>工作物等の形態意匠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371"/>
        <w:gridCol w:w="709"/>
      </w:tblGrid>
      <w:tr w:rsidR="00F041C4" w:rsidRPr="003A708C" w:rsidTr="007D572D">
        <w:tc>
          <w:tcPr>
            <w:tcW w:w="141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自動販売機</w:t>
            </w: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自動販売機は、建築物の中に組み込む。やむを得ず屋外に設置する場合は、色を</w:t>
            </w:r>
            <w:r w:rsidRPr="003A708C">
              <w:rPr>
                <w:rFonts w:ascii="Century" w:hAnsi="Century" w:hint="eastAsia"/>
                <w:kern w:val="0"/>
                <w:sz w:val="22"/>
              </w:rPr>
              <w:t>5</w:t>
            </w:r>
            <w:r w:rsidRPr="003A708C">
              <w:rPr>
                <w:rFonts w:ascii="Century" w:hAnsi="Century" w:hint="eastAsia"/>
                <w:kern w:val="0"/>
                <w:sz w:val="22"/>
              </w:rPr>
              <w:t>Ｙ</w:t>
            </w:r>
            <w:r w:rsidRPr="003A708C">
              <w:rPr>
                <w:rFonts w:ascii="Century" w:hAnsi="Century" w:hint="eastAsia"/>
                <w:kern w:val="0"/>
                <w:sz w:val="22"/>
              </w:rPr>
              <w:t>7.5 / 1.5</w:t>
            </w:r>
            <w:r w:rsidRPr="003A708C">
              <w:rPr>
                <w:rFonts w:ascii="Century" w:hAnsi="Century" w:hint="eastAsia"/>
                <w:kern w:val="0"/>
                <w:sz w:val="22"/>
              </w:rPr>
              <w:t>とする。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41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照明</w:t>
            </w: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建築物や植栽、ストリートファニチャー等をライトアップする場合は、隣接する施設相互の照明や歩行者に配慮し、効果的な夜間景観の演出に努める。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417" w:type="dxa"/>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ストリートファニチャ－</w:t>
            </w: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彫刻やベンチなどのストリートファニチャーを設置する場合は、アイストップになる箇所や歩行者空間に隣接する箇所等に配置し、過剰なデザインとしない。</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417" w:type="dxa"/>
            <w:vMerge w:val="restart"/>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緑化</w:t>
            </w: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エントランスの周辺などには、高木の配置に努める。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41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歩行者空間や親水空間に面する敷地では、四季折々の花や中低木等を植栽する。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r w:rsidR="00F041C4" w:rsidRPr="003A708C" w:rsidTr="007D572D">
        <w:tc>
          <w:tcPr>
            <w:tcW w:w="1417" w:type="dxa"/>
            <w:vMerge/>
            <w:shd w:val="pct5" w:color="auto" w:fill="auto"/>
          </w:tcPr>
          <w:p w:rsidR="00F041C4" w:rsidRPr="003A708C" w:rsidRDefault="00F041C4" w:rsidP="007D572D">
            <w:pPr>
              <w:spacing w:before="100" w:beforeAutospacing="1" w:after="100" w:afterAutospacing="1"/>
              <w:rPr>
                <w:rFonts w:ascii="ＭＳ ゴシック" w:eastAsia="ＭＳ ゴシック" w:hAnsi="ＭＳ ゴシック"/>
                <w:kern w:val="0"/>
                <w:sz w:val="22"/>
              </w:rPr>
            </w:pPr>
          </w:p>
        </w:tc>
        <w:tc>
          <w:tcPr>
            <w:tcW w:w="7371" w:type="dxa"/>
          </w:tcPr>
          <w:p w:rsidR="00F041C4" w:rsidRPr="003A708C" w:rsidRDefault="00F041C4" w:rsidP="007D572D">
            <w:pPr>
              <w:spacing w:before="100" w:beforeAutospacing="1" w:after="100" w:afterAutospacing="1"/>
              <w:rPr>
                <w:rFonts w:ascii="Century" w:hAnsi="Century"/>
                <w:kern w:val="0"/>
                <w:sz w:val="22"/>
              </w:rPr>
            </w:pPr>
            <w:r w:rsidRPr="003A708C">
              <w:rPr>
                <w:rFonts w:ascii="Century" w:hAnsi="Century" w:hint="eastAsia"/>
                <w:kern w:val="0"/>
                <w:sz w:val="22"/>
              </w:rPr>
              <w:t>しみずマリンロード（国道</w:t>
            </w:r>
            <w:r w:rsidRPr="003A708C">
              <w:rPr>
                <w:rFonts w:ascii="Century" w:hAnsi="Century" w:hint="eastAsia"/>
                <w:kern w:val="0"/>
                <w:sz w:val="22"/>
              </w:rPr>
              <w:t>149</w:t>
            </w:r>
            <w:r w:rsidRPr="003A708C">
              <w:rPr>
                <w:rFonts w:ascii="Century" w:hAnsi="Century" w:hint="eastAsia"/>
                <w:kern w:val="0"/>
                <w:sz w:val="22"/>
              </w:rPr>
              <w:t>号）の沿道では、中高木の植栽、駐車場・駐輪場等の緑化に努める。</w:t>
            </w:r>
          </w:p>
        </w:tc>
        <w:tc>
          <w:tcPr>
            <w:tcW w:w="709" w:type="dxa"/>
          </w:tcPr>
          <w:p w:rsidR="00F041C4" w:rsidRPr="003A708C" w:rsidRDefault="00F041C4" w:rsidP="007D572D">
            <w:pPr>
              <w:spacing w:before="100" w:beforeAutospacing="1" w:after="100" w:afterAutospacing="1"/>
              <w:ind w:left="227" w:hanging="227"/>
              <w:rPr>
                <w:rFonts w:ascii="Century" w:hAnsi="Century"/>
                <w:kern w:val="0"/>
                <w:sz w:val="22"/>
              </w:rPr>
            </w:pPr>
          </w:p>
        </w:tc>
      </w:tr>
    </w:tbl>
    <w:p w:rsidR="00F041C4" w:rsidRPr="003A708C" w:rsidRDefault="00F041C4" w:rsidP="00F041C4">
      <w:pPr>
        <w:rPr>
          <w:rFonts w:ascii="Century" w:hAnsi="Century"/>
          <w:kern w:val="2"/>
          <w:sz w:val="22"/>
        </w:rPr>
      </w:pPr>
    </w:p>
    <w:p w:rsidR="00F041C4" w:rsidRPr="003A708C" w:rsidRDefault="00F041C4" w:rsidP="00F041C4">
      <w:pPr>
        <w:rPr>
          <w:rFonts w:ascii="Century" w:hAnsi="Century"/>
          <w:kern w:val="2"/>
        </w:rPr>
      </w:pPr>
    </w:p>
    <w:p w:rsidR="00F041C4" w:rsidRPr="003A708C" w:rsidRDefault="00F041C4" w:rsidP="00F041C4">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□屋根の色彩基準</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F041C4" w:rsidRPr="003A708C" w:rsidTr="007D572D">
        <w:tc>
          <w:tcPr>
            <w:tcW w:w="1621" w:type="dxa"/>
            <w:shd w:val="clear" w:color="auto" w:fill="D9D9D9"/>
            <w:tcMar>
              <w:left w:w="85" w:type="dxa"/>
              <w:right w:w="85" w:type="dxa"/>
            </w:tcMa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F041C4" w:rsidRPr="003A708C" w:rsidTr="007D572D">
        <w:tc>
          <w:tcPr>
            <w:tcW w:w="1621" w:type="dxa"/>
            <w:tcMar>
              <w:left w:w="85" w:type="dxa"/>
              <w:right w:w="85" w:type="dxa"/>
            </w:tcMar>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10</w:t>
            </w:r>
            <w:r w:rsidRPr="003A708C">
              <w:rPr>
                <w:rFonts w:ascii="Century" w:hAnsi="Century" w:hint="eastAsia"/>
                <w:kern w:val="2"/>
                <w:sz w:val="22"/>
              </w:rPr>
              <w:t>ＧＹ～</w:t>
            </w:r>
            <w:r w:rsidRPr="003A708C">
              <w:rPr>
                <w:rFonts w:ascii="Century" w:hAnsi="Century" w:hint="eastAsia"/>
                <w:kern w:val="2"/>
                <w:sz w:val="22"/>
              </w:rPr>
              <w:t>10</w:t>
            </w:r>
            <w:r w:rsidRPr="003A708C">
              <w:rPr>
                <w:rFonts w:ascii="Century" w:hAnsi="Century" w:hint="eastAsia"/>
                <w:kern w:val="2"/>
                <w:sz w:val="22"/>
              </w:rPr>
              <w:t>Ｇ</w:t>
            </w:r>
          </w:p>
        </w:tc>
        <w:tc>
          <w:tcPr>
            <w:tcW w:w="1419"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4</w:t>
            </w:r>
            <w:r w:rsidRPr="003A708C">
              <w:rPr>
                <w:rFonts w:ascii="Century" w:hAnsi="Century" w:hint="eastAsia"/>
                <w:kern w:val="2"/>
                <w:sz w:val="22"/>
              </w:rPr>
              <w:t>～</w:t>
            </w:r>
            <w:r w:rsidRPr="003A708C">
              <w:rPr>
                <w:rFonts w:ascii="Century" w:hAnsi="Century" w:hint="eastAsia"/>
                <w:kern w:val="2"/>
                <w:sz w:val="22"/>
              </w:rPr>
              <w:t>6</w:t>
            </w:r>
          </w:p>
        </w:tc>
        <w:tc>
          <w:tcPr>
            <w:tcW w:w="1520"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1</w:t>
            </w:r>
            <w:r w:rsidRPr="003A708C">
              <w:rPr>
                <w:rFonts w:ascii="Century" w:hAnsi="Century" w:hint="eastAsia"/>
                <w:kern w:val="2"/>
                <w:sz w:val="22"/>
              </w:rPr>
              <w:t>～</w:t>
            </w:r>
            <w:r w:rsidRPr="003A708C">
              <w:rPr>
                <w:rFonts w:ascii="Century" w:hAnsi="Century" w:hint="eastAsia"/>
                <w:kern w:val="2"/>
                <w:sz w:val="22"/>
              </w:rPr>
              <w:t>6</w:t>
            </w:r>
          </w:p>
        </w:tc>
      </w:tr>
    </w:tbl>
    <w:p w:rsidR="00F041C4" w:rsidRPr="003A708C" w:rsidRDefault="00F041C4" w:rsidP="00F041C4">
      <w:pPr>
        <w:rPr>
          <w:rFonts w:ascii="Century" w:hAnsi="Century"/>
          <w:kern w:val="2"/>
        </w:rPr>
      </w:pPr>
    </w:p>
    <w:p w:rsidR="00F041C4" w:rsidRPr="003A708C" w:rsidRDefault="00F041C4" w:rsidP="00F041C4">
      <w:pPr>
        <w:rPr>
          <w:rFonts w:ascii="Century" w:hAnsi="Century"/>
          <w:kern w:val="2"/>
        </w:rPr>
      </w:pPr>
    </w:p>
    <w:p w:rsidR="00F041C4" w:rsidRPr="003A708C" w:rsidRDefault="00F041C4" w:rsidP="00F041C4">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□外壁の色彩基準</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F041C4" w:rsidRPr="003A708C" w:rsidTr="007D572D">
        <w:tc>
          <w:tcPr>
            <w:tcW w:w="1621" w:type="dxa"/>
            <w:shd w:val="clear" w:color="auto" w:fill="D9D9D9"/>
            <w:tcMar>
              <w:left w:w="85" w:type="dxa"/>
              <w:right w:w="85" w:type="dxa"/>
            </w:tcMa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F041C4" w:rsidRPr="003A708C" w:rsidTr="007D572D">
        <w:tc>
          <w:tcPr>
            <w:tcW w:w="1621" w:type="dxa"/>
            <w:tcMar>
              <w:left w:w="85" w:type="dxa"/>
              <w:right w:w="85" w:type="dxa"/>
            </w:tcMar>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10YR</w:t>
            </w:r>
            <w:r w:rsidRPr="003A708C">
              <w:rPr>
                <w:rFonts w:ascii="Century" w:hAnsi="Century" w:hint="eastAsia"/>
                <w:kern w:val="2"/>
                <w:sz w:val="22"/>
              </w:rPr>
              <w:t>～</w:t>
            </w:r>
            <w:r w:rsidRPr="003A708C">
              <w:rPr>
                <w:rFonts w:ascii="Century" w:hAnsi="Century" w:hint="eastAsia"/>
                <w:kern w:val="2"/>
                <w:sz w:val="22"/>
              </w:rPr>
              <w:t>5Y</w:t>
            </w:r>
          </w:p>
        </w:tc>
        <w:tc>
          <w:tcPr>
            <w:tcW w:w="1419"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5</w:t>
            </w:r>
            <w:r w:rsidRPr="003A708C">
              <w:rPr>
                <w:rFonts w:ascii="Century" w:hAnsi="Century" w:hint="eastAsia"/>
                <w:kern w:val="2"/>
                <w:sz w:val="22"/>
              </w:rPr>
              <w:t>～</w:t>
            </w:r>
            <w:r w:rsidRPr="003A708C">
              <w:rPr>
                <w:rFonts w:ascii="Century" w:hAnsi="Century" w:hint="eastAsia"/>
                <w:kern w:val="2"/>
                <w:sz w:val="22"/>
              </w:rPr>
              <w:t>9</w:t>
            </w:r>
          </w:p>
        </w:tc>
        <w:tc>
          <w:tcPr>
            <w:tcW w:w="1520"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5</w:t>
            </w:r>
            <w:r w:rsidRPr="003A708C">
              <w:rPr>
                <w:rFonts w:ascii="Century" w:hAnsi="Century" w:hint="eastAsia"/>
                <w:kern w:val="2"/>
                <w:sz w:val="22"/>
              </w:rPr>
              <w:t>以下</w:t>
            </w:r>
          </w:p>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18"/>
              </w:rPr>
              <w:t>(</w:t>
            </w:r>
            <w:r w:rsidRPr="003A708C">
              <w:rPr>
                <w:rFonts w:ascii="Century" w:hAnsi="Century" w:hint="eastAsia"/>
                <w:kern w:val="2"/>
                <w:sz w:val="18"/>
              </w:rPr>
              <w:t>無彩色を含む</w:t>
            </w:r>
            <w:r w:rsidRPr="003A708C">
              <w:rPr>
                <w:rFonts w:ascii="Century" w:hAnsi="Century" w:hint="eastAsia"/>
                <w:kern w:val="2"/>
                <w:sz w:val="18"/>
              </w:rPr>
              <w:t>)</w:t>
            </w:r>
          </w:p>
        </w:tc>
      </w:tr>
      <w:tr w:rsidR="00F041C4" w:rsidRPr="003A708C" w:rsidTr="007D572D">
        <w:tc>
          <w:tcPr>
            <w:tcW w:w="1621" w:type="dxa"/>
            <w:tcMar>
              <w:left w:w="85" w:type="dxa"/>
              <w:right w:w="85" w:type="dxa"/>
            </w:tcMar>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10R</w:t>
            </w:r>
            <w:r w:rsidRPr="003A708C">
              <w:rPr>
                <w:rFonts w:ascii="Century" w:hAnsi="Century" w:hint="eastAsia"/>
                <w:kern w:val="2"/>
                <w:sz w:val="22"/>
              </w:rPr>
              <w:t>～</w:t>
            </w:r>
            <w:r w:rsidRPr="003A708C">
              <w:rPr>
                <w:rFonts w:ascii="Century" w:hAnsi="Century" w:hint="eastAsia"/>
                <w:kern w:val="2"/>
                <w:sz w:val="22"/>
              </w:rPr>
              <w:t>5YR</w:t>
            </w:r>
          </w:p>
        </w:tc>
        <w:tc>
          <w:tcPr>
            <w:tcW w:w="1419"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3</w:t>
            </w:r>
            <w:r w:rsidRPr="003A708C">
              <w:rPr>
                <w:rFonts w:ascii="Century" w:hAnsi="Century" w:hint="eastAsia"/>
                <w:kern w:val="2"/>
                <w:sz w:val="22"/>
              </w:rPr>
              <w:t>～</w:t>
            </w:r>
            <w:r w:rsidRPr="003A708C">
              <w:rPr>
                <w:rFonts w:ascii="Century" w:hAnsi="Century" w:hint="eastAsia"/>
                <w:kern w:val="2"/>
                <w:sz w:val="22"/>
              </w:rPr>
              <w:t>5</w:t>
            </w:r>
          </w:p>
        </w:tc>
        <w:tc>
          <w:tcPr>
            <w:tcW w:w="1520"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3</w:t>
            </w:r>
            <w:r w:rsidRPr="003A708C">
              <w:rPr>
                <w:rFonts w:ascii="Century" w:hAnsi="Century" w:hint="eastAsia"/>
                <w:kern w:val="2"/>
                <w:sz w:val="22"/>
              </w:rPr>
              <w:t>～</w:t>
            </w:r>
            <w:r w:rsidRPr="003A708C">
              <w:rPr>
                <w:rFonts w:ascii="Century" w:hAnsi="Century" w:hint="eastAsia"/>
                <w:kern w:val="2"/>
                <w:sz w:val="22"/>
              </w:rPr>
              <w:t>8</w:t>
            </w:r>
          </w:p>
        </w:tc>
      </w:tr>
    </w:tbl>
    <w:p w:rsidR="00F041C4" w:rsidRPr="003A708C" w:rsidRDefault="00F041C4" w:rsidP="00F041C4">
      <w:pPr>
        <w:rPr>
          <w:rFonts w:ascii="Century" w:hAnsi="Century"/>
          <w:kern w:val="2"/>
        </w:rPr>
      </w:pPr>
    </w:p>
    <w:p w:rsidR="00F041C4" w:rsidRPr="003A708C" w:rsidRDefault="00F041C4" w:rsidP="00F041C4">
      <w:pPr>
        <w:rPr>
          <w:rFonts w:ascii="Century" w:hAnsi="Century"/>
          <w:kern w:val="2"/>
        </w:rPr>
      </w:pPr>
    </w:p>
    <w:p w:rsidR="00F041C4" w:rsidRPr="003A708C" w:rsidRDefault="00F041C4" w:rsidP="00F041C4">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□清水港を代表する色彩（シンボルカラー）</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F041C4" w:rsidRPr="003A708C" w:rsidTr="007D572D">
        <w:tc>
          <w:tcPr>
            <w:tcW w:w="1621" w:type="dxa"/>
            <w:shd w:val="clear" w:color="auto" w:fill="D9D9D9"/>
            <w:tcMar>
              <w:left w:w="85" w:type="dxa"/>
              <w:right w:w="85" w:type="dxa"/>
            </w:tcMa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F041C4" w:rsidRPr="003A708C" w:rsidTr="007D572D">
        <w:tc>
          <w:tcPr>
            <w:tcW w:w="1621" w:type="dxa"/>
            <w:tcMar>
              <w:left w:w="85" w:type="dxa"/>
              <w:right w:w="85" w:type="dxa"/>
            </w:tcMar>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10B</w:t>
            </w:r>
          </w:p>
        </w:tc>
        <w:tc>
          <w:tcPr>
            <w:tcW w:w="1419"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7</w:t>
            </w:r>
          </w:p>
        </w:tc>
        <w:tc>
          <w:tcPr>
            <w:tcW w:w="1520"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8</w:t>
            </w:r>
          </w:p>
        </w:tc>
      </w:tr>
      <w:tr w:rsidR="00F041C4" w:rsidRPr="003A708C" w:rsidTr="007D572D">
        <w:tc>
          <w:tcPr>
            <w:tcW w:w="1621" w:type="dxa"/>
            <w:tcMar>
              <w:left w:w="85" w:type="dxa"/>
              <w:right w:w="85" w:type="dxa"/>
            </w:tcMar>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N</w:t>
            </w:r>
          </w:p>
        </w:tc>
        <w:tc>
          <w:tcPr>
            <w:tcW w:w="1419" w:type="dxa"/>
            <w:vAlign w:val="center"/>
          </w:tcPr>
          <w:p w:rsidR="00F041C4" w:rsidRPr="003A708C" w:rsidRDefault="00F041C4" w:rsidP="007D572D">
            <w:pPr>
              <w:spacing w:before="100" w:beforeAutospacing="1" w:after="100" w:afterAutospacing="1"/>
              <w:jc w:val="center"/>
              <w:rPr>
                <w:rFonts w:ascii="Century" w:hAnsi="Century"/>
                <w:kern w:val="2"/>
                <w:sz w:val="22"/>
              </w:rPr>
            </w:pPr>
            <w:r w:rsidRPr="003A708C">
              <w:rPr>
                <w:rFonts w:ascii="Century" w:hAnsi="Century" w:hint="eastAsia"/>
                <w:kern w:val="2"/>
                <w:sz w:val="22"/>
              </w:rPr>
              <w:t>9.5</w:t>
            </w:r>
          </w:p>
        </w:tc>
        <w:tc>
          <w:tcPr>
            <w:tcW w:w="1520" w:type="dxa"/>
            <w:vAlign w:val="center"/>
          </w:tcPr>
          <w:p w:rsidR="00F041C4" w:rsidRPr="003A708C" w:rsidRDefault="00F041C4" w:rsidP="007D572D">
            <w:pPr>
              <w:spacing w:before="100" w:beforeAutospacing="1" w:after="100" w:afterAutospacing="1"/>
              <w:jc w:val="center"/>
              <w:rPr>
                <w:rFonts w:ascii="Century" w:hAnsi="Century"/>
                <w:kern w:val="2"/>
                <w:sz w:val="22"/>
              </w:rPr>
            </w:pPr>
          </w:p>
        </w:tc>
      </w:tr>
    </w:tbl>
    <w:p w:rsidR="00F041C4" w:rsidRPr="003A708C" w:rsidRDefault="00F041C4" w:rsidP="00F041C4">
      <w:pPr>
        <w:rPr>
          <w:rFonts w:ascii="Century" w:hAnsi="Century"/>
          <w:kern w:val="2"/>
        </w:rPr>
      </w:pPr>
    </w:p>
    <w:p w:rsidR="00F041C4" w:rsidRPr="00CA4892" w:rsidRDefault="00F041C4" w:rsidP="00F041C4">
      <w:pPr>
        <w:wordWrap w:val="0"/>
        <w:overflowPunct w:val="0"/>
        <w:autoSpaceDE w:val="0"/>
        <w:autoSpaceDN w:val="0"/>
      </w:pPr>
    </w:p>
    <w:sectPr w:rsidR="00F041C4" w:rsidRPr="00CA4892" w:rsidSect="00F041C4">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39" w:rsidRDefault="00861B39" w:rsidP="0035005E">
      <w:r>
        <w:separator/>
      </w:r>
    </w:p>
  </w:endnote>
  <w:endnote w:type="continuationSeparator" w:id="0">
    <w:p w:rsidR="00861B39" w:rsidRDefault="00861B3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39" w:rsidRDefault="00861B39" w:rsidP="0035005E">
      <w:r>
        <w:separator/>
      </w:r>
    </w:p>
  </w:footnote>
  <w:footnote w:type="continuationSeparator" w:id="0">
    <w:p w:rsidR="00861B39" w:rsidRDefault="00861B39"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105"/>
  <w:drawingGridVerticalSpacing w:val="335"/>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A4A09"/>
    <w:rsid w:val="000C0897"/>
    <w:rsid w:val="000C095C"/>
    <w:rsid w:val="000D07B1"/>
    <w:rsid w:val="000F636C"/>
    <w:rsid w:val="00117306"/>
    <w:rsid w:val="001456D5"/>
    <w:rsid w:val="00162504"/>
    <w:rsid w:val="00172BFF"/>
    <w:rsid w:val="00173FE7"/>
    <w:rsid w:val="0018091C"/>
    <w:rsid w:val="001933B6"/>
    <w:rsid w:val="00193749"/>
    <w:rsid w:val="001B7A4E"/>
    <w:rsid w:val="001E43E0"/>
    <w:rsid w:val="001F1673"/>
    <w:rsid w:val="002053D2"/>
    <w:rsid w:val="00216108"/>
    <w:rsid w:val="00221DDB"/>
    <w:rsid w:val="002234DC"/>
    <w:rsid w:val="002238C7"/>
    <w:rsid w:val="00223D59"/>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247D5"/>
    <w:rsid w:val="00450F40"/>
    <w:rsid w:val="00455E5B"/>
    <w:rsid w:val="004646D0"/>
    <w:rsid w:val="00472684"/>
    <w:rsid w:val="00472D4E"/>
    <w:rsid w:val="004762F9"/>
    <w:rsid w:val="00485501"/>
    <w:rsid w:val="004964D6"/>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61B39"/>
    <w:rsid w:val="008A0EB6"/>
    <w:rsid w:val="008A2A6E"/>
    <w:rsid w:val="008B46F9"/>
    <w:rsid w:val="008C42A8"/>
    <w:rsid w:val="008C62DA"/>
    <w:rsid w:val="008D6E39"/>
    <w:rsid w:val="008E0D28"/>
    <w:rsid w:val="008E4E17"/>
    <w:rsid w:val="00902DC1"/>
    <w:rsid w:val="00932FE6"/>
    <w:rsid w:val="00943644"/>
    <w:rsid w:val="0094575F"/>
    <w:rsid w:val="009466B7"/>
    <w:rsid w:val="00957F31"/>
    <w:rsid w:val="009633A9"/>
    <w:rsid w:val="009806A7"/>
    <w:rsid w:val="00982951"/>
    <w:rsid w:val="00983A29"/>
    <w:rsid w:val="009A25AD"/>
    <w:rsid w:val="009B4AB3"/>
    <w:rsid w:val="009D6BB8"/>
    <w:rsid w:val="00A13627"/>
    <w:rsid w:val="00A17925"/>
    <w:rsid w:val="00A32933"/>
    <w:rsid w:val="00A521D1"/>
    <w:rsid w:val="00A65D60"/>
    <w:rsid w:val="00A671AC"/>
    <w:rsid w:val="00A94503"/>
    <w:rsid w:val="00AB2FAE"/>
    <w:rsid w:val="00AD6308"/>
    <w:rsid w:val="00AD64CC"/>
    <w:rsid w:val="00AE518B"/>
    <w:rsid w:val="00B37834"/>
    <w:rsid w:val="00B648D8"/>
    <w:rsid w:val="00B72FC6"/>
    <w:rsid w:val="00B82E86"/>
    <w:rsid w:val="00B8791F"/>
    <w:rsid w:val="00BA1E8B"/>
    <w:rsid w:val="00BB247C"/>
    <w:rsid w:val="00BB35DD"/>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23596"/>
    <w:rsid w:val="00D31739"/>
    <w:rsid w:val="00D3194C"/>
    <w:rsid w:val="00D5073C"/>
    <w:rsid w:val="00D5417A"/>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41C4"/>
    <w:rsid w:val="00F0735D"/>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E8E8311-69C1-4770-8D5F-FD5A19C4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2021-09-03T06:55:00Z</dcterms:created>
  <dcterms:modified xsi:type="dcterms:W3CDTF">2021-09-03T06:56:00Z</dcterms:modified>
</cp:coreProperties>
</file>